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下妻市農業委員会「農地等の利用の最適化の推進に関する指針」</w:t>
      </w:r>
      <w:bookmarkStart w:id="0" w:name="_GoBack"/>
      <w:bookmarkEnd w:id="0"/>
    </w:p>
    <w:p>
      <w:pPr>
        <w:pStyle w:val="0"/>
        <w:jc w:val="center"/>
        <w:rPr>
          <w:rFonts w:hint="default"/>
          <w:sz w:val="22"/>
        </w:rPr>
      </w:pPr>
    </w:p>
    <w:p>
      <w:pPr>
        <w:pStyle w:val="0"/>
        <w:wordWrap w:val="0"/>
        <w:jc w:val="right"/>
        <w:rPr>
          <w:rFonts w:hint="default"/>
          <w:sz w:val="22"/>
        </w:rPr>
      </w:pPr>
      <w:r>
        <w:rPr>
          <w:rFonts w:hint="eastAsia"/>
          <w:sz w:val="22"/>
        </w:rPr>
        <w:t>平成２９年１１月２７日制定</w:t>
      </w:r>
    </w:p>
    <w:p>
      <w:pPr>
        <w:pStyle w:val="0"/>
        <w:jc w:val="right"/>
        <w:rPr>
          <w:rFonts w:hint="default"/>
          <w:kern w:val="0"/>
          <w:sz w:val="22"/>
        </w:rPr>
      </w:pPr>
      <w:r>
        <w:rPr>
          <w:rFonts w:hint="eastAsia"/>
          <w:kern w:val="0"/>
          <w:sz w:val="22"/>
        </w:rPr>
        <w:t>令和　２年１２月２５日改定</w:t>
      </w:r>
    </w:p>
    <w:p>
      <w:pPr>
        <w:pStyle w:val="0"/>
        <w:wordWrap w:val="0"/>
        <w:jc w:val="right"/>
        <w:rPr>
          <w:rFonts w:hint="default"/>
          <w:kern w:val="0"/>
          <w:sz w:val="22"/>
        </w:rPr>
      </w:pPr>
      <w:r>
        <w:rPr>
          <w:rFonts w:hint="eastAsia"/>
          <w:sz w:val="22"/>
        </w:rPr>
        <w:t>令和　５年　３月２７日改定</w:t>
      </w:r>
    </w:p>
    <w:p>
      <w:pPr>
        <w:pStyle w:val="0"/>
        <w:wordWrap w:val="0"/>
        <w:jc w:val="right"/>
        <w:rPr>
          <w:rFonts w:hint="default"/>
          <w:kern w:val="0"/>
          <w:sz w:val="22"/>
        </w:rPr>
      </w:pPr>
      <w:r>
        <w:rPr>
          <w:rFonts w:hint="eastAsia"/>
          <w:sz w:val="22"/>
        </w:rPr>
        <w:t>令和　５年１２月２５日改定</w:t>
      </w:r>
    </w:p>
    <w:p>
      <w:pPr>
        <w:pStyle w:val="0"/>
        <w:jc w:val="right"/>
        <w:rPr>
          <w:rFonts w:hint="default" w:asciiTheme="minorEastAsia" w:hAnsiTheme="minorEastAsia"/>
          <w:kern w:val="0"/>
          <w:sz w:val="22"/>
        </w:rPr>
      </w:pPr>
      <w:r>
        <w:rPr>
          <w:rFonts w:hint="default" w:asciiTheme="minorEastAsia" w:hAnsiTheme="minorEastAsia"/>
          <w:spacing w:val="94"/>
          <w:kern w:val="0"/>
          <w:sz w:val="22"/>
          <w:fitText w:val="3081" w:id="1"/>
        </w:rPr>
        <w:t>下妻市農業委員</w:t>
      </w:r>
      <w:r>
        <w:rPr>
          <w:rFonts w:hint="default" w:asciiTheme="minorEastAsia" w:hAnsiTheme="minorEastAsia"/>
          <w:spacing w:val="2"/>
          <w:kern w:val="0"/>
          <w:sz w:val="22"/>
          <w:fitText w:val="3081" w:id="1"/>
        </w:rPr>
        <w:t>会</w:t>
      </w:r>
    </w:p>
    <w:p>
      <w:pPr>
        <w:pStyle w:val="0"/>
        <w:jc w:val="right"/>
        <w:rPr>
          <w:rFonts w:hint="default"/>
          <w:sz w:val="22"/>
        </w:rPr>
      </w:pPr>
    </w:p>
    <w:p>
      <w:pPr>
        <w:pStyle w:val="0"/>
        <w:rPr>
          <w:rFonts w:hint="default"/>
          <w:sz w:val="22"/>
        </w:rPr>
      </w:pPr>
      <w:r>
        <w:rPr>
          <w:rFonts w:hint="eastAsia"/>
          <w:sz w:val="22"/>
        </w:rPr>
        <w:t>第１　基本的な考え方</w:t>
      </w:r>
    </w:p>
    <w:p>
      <w:pPr>
        <w:pStyle w:val="0"/>
        <w:rPr>
          <w:rFonts w:hint="eastAsia"/>
          <w:sz w:val="22"/>
        </w:rPr>
      </w:pPr>
    </w:p>
    <w:p>
      <w:pPr>
        <w:pStyle w:val="0"/>
        <w:ind w:firstLine="237" w:firstLineChars="100"/>
        <w:rPr>
          <w:rFonts w:hint="default"/>
          <w:sz w:val="22"/>
        </w:rPr>
      </w:pPr>
      <w:r>
        <w:rPr>
          <w:rFonts w:hint="eastAsia"/>
          <w:sz w:val="22"/>
        </w:rPr>
        <w:t>農業委員会等に関する法律（昭和</w:t>
      </w:r>
      <w:r>
        <w:rPr>
          <w:rFonts w:hint="eastAsia"/>
          <w:sz w:val="22"/>
        </w:rPr>
        <w:t>26</w:t>
      </w:r>
      <w:r>
        <w:rPr>
          <w:rFonts w:hint="eastAsia"/>
          <w:sz w:val="22"/>
        </w:rPr>
        <w:t>年法律第</w:t>
      </w:r>
      <w:r>
        <w:rPr>
          <w:rFonts w:hint="eastAsia"/>
          <w:sz w:val="22"/>
        </w:rPr>
        <w:t>88</w:t>
      </w:r>
      <w:r>
        <w:rPr>
          <w:rFonts w:hint="eastAsia"/>
          <w:sz w:val="22"/>
        </w:rPr>
        <w:t>号。以下「法」という。）の改正法が平成</w:t>
      </w:r>
      <w:r>
        <w:rPr>
          <w:rFonts w:hint="eastAsia"/>
          <w:sz w:val="22"/>
        </w:rPr>
        <w:t>28</w:t>
      </w:r>
      <w:r>
        <w:rPr>
          <w:rFonts w:hint="eastAsia"/>
          <w:sz w:val="22"/>
        </w:rPr>
        <w:t>年４月１日に施行され、農業委員会においては「農地等の利用の最適化の推進」が最も重要な必須事務として、明確に位置づけられた。</w:t>
      </w:r>
    </w:p>
    <w:p>
      <w:pPr>
        <w:pStyle w:val="0"/>
        <w:ind w:firstLine="237" w:firstLineChars="100"/>
        <w:rPr>
          <w:rFonts w:hint="default"/>
          <w:sz w:val="22"/>
        </w:rPr>
      </w:pPr>
      <w:r>
        <w:rPr>
          <w:rFonts w:hint="eastAsia"/>
          <w:sz w:val="22"/>
        </w:rPr>
        <w:t>本市は肥沃な耕地と温暖な気候に恵まれ、水稲を主体として、果樹・野菜・畜産を組み合わせた複合型農業経営として発展してきた。</w:t>
      </w:r>
    </w:p>
    <w:p>
      <w:pPr>
        <w:pStyle w:val="0"/>
        <w:ind w:firstLine="237" w:firstLineChars="100"/>
        <w:rPr>
          <w:rFonts w:hint="default"/>
          <w:strike w:val="1"/>
          <w:dstrike w:val="0"/>
          <w:sz w:val="22"/>
        </w:rPr>
      </w:pPr>
      <w:r>
        <w:rPr>
          <w:rFonts w:hint="eastAsia"/>
          <w:sz w:val="22"/>
        </w:rPr>
        <w:t>しかし近年は、高齢化による労働力の低下や後継者不足により年々農業従事者は減少し、遊休農地の増加が懸念されていることから、その発生防止・解消に努めていく一方、担い手への農地利用の集積・集約化を図るため、「地域計画」（農業経営基盤強化促進法（昭和</w:t>
      </w:r>
      <w:r>
        <w:rPr>
          <w:rFonts w:hint="eastAsia"/>
          <w:sz w:val="22"/>
        </w:rPr>
        <w:t>55</w:t>
      </w:r>
      <w:r>
        <w:rPr>
          <w:rFonts w:hint="eastAsia"/>
          <w:sz w:val="22"/>
        </w:rPr>
        <w:t>年法律第</w:t>
      </w:r>
      <w:r>
        <w:rPr>
          <w:rFonts w:hint="eastAsia"/>
          <w:sz w:val="22"/>
        </w:rPr>
        <w:t>65</w:t>
      </w:r>
      <w:r>
        <w:rPr>
          <w:rFonts w:hint="eastAsia"/>
          <w:sz w:val="22"/>
        </w:rPr>
        <w:t>号。以下「基盤法」という。）第</w:t>
      </w:r>
      <w:r>
        <w:rPr>
          <w:rFonts w:hint="eastAsia"/>
          <w:sz w:val="22"/>
        </w:rPr>
        <w:t>19</w:t>
      </w:r>
      <w:r>
        <w:rPr>
          <w:rFonts w:hint="eastAsia"/>
          <w:sz w:val="22"/>
        </w:rPr>
        <w:t>条第</w:t>
      </w:r>
      <w:r>
        <w:rPr>
          <w:rFonts w:hint="eastAsia"/>
          <w:sz w:val="22"/>
        </w:rPr>
        <w:t>1</w:t>
      </w:r>
      <w:r>
        <w:rPr>
          <w:rFonts w:hint="eastAsia"/>
          <w:sz w:val="22"/>
        </w:rPr>
        <w:t>項の規定に基づき市が、農業者等の協議の結果を踏まえ、農業の在り方や農用地の効率的かつ総合的な利用に関する目標として農業を担う者ごとに農用地等を表示した地図などを明確化し、公表したものをいう。）に基づいて農地中間管理事業を活用した利用調整に取り組んでいく必要がある。</w:t>
      </w:r>
    </w:p>
    <w:p>
      <w:pPr>
        <w:pStyle w:val="0"/>
        <w:ind w:firstLine="237" w:firstLineChars="100"/>
        <w:rPr>
          <w:rFonts w:hint="default"/>
          <w:sz w:val="22"/>
        </w:rPr>
      </w:pPr>
      <w:r>
        <w:rPr>
          <w:rFonts w:hint="eastAsia"/>
          <w:sz w:val="22"/>
        </w:rPr>
        <w:t>このような中、本市農業の特徴を活かしながら、活力ある農業・農村を築くため、法第７条第１項に基づき、農業委員と農地利用最適化推進委員（以下「推進委員」という。）が連携し、担当区域ごとの活動を通じて、「農地等の利用の最適化」が一体的に進んでいくよう、下妻市農業委員会の指針として、具体的な目標と推進方法、目標の達成状況に対する評価方法を以下のとおり定める。</w:t>
      </w:r>
    </w:p>
    <w:p>
      <w:pPr>
        <w:pStyle w:val="0"/>
        <w:ind w:firstLine="237" w:firstLineChars="100"/>
        <w:rPr>
          <w:rFonts w:hint="default"/>
          <w:sz w:val="22"/>
        </w:rPr>
      </w:pPr>
      <w:r>
        <w:rPr>
          <w:rFonts w:hint="eastAsia"/>
          <w:sz w:val="22"/>
        </w:rPr>
        <w:t>なお、この指針は、</w:t>
      </w:r>
      <w:r>
        <w:rPr>
          <w:rFonts w:hint="eastAsia"/>
          <w:strike w:val="0"/>
          <w:dstrike w:val="0"/>
          <w:sz w:val="22"/>
        </w:rPr>
        <w:t>基盤法第</w:t>
      </w:r>
      <w:r>
        <w:rPr>
          <w:rFonts w:hint="eastAsia"/>
          <w:strike w:val="0"/>
          <w:dstrike w:val="0"/>
          <w:sz w:val="22"/>
        </w:rPr>
        <w:t>5</w:t>
      </w:r>
      <w:r>
        <w:rPr>
          <w:rFonts w:hint="eastAsia"/>
          <w:strike w:val="0"/>
          <w:dstrike w:val="0"/>
          <w:sz w:val="22"/>
        </w:rPr>
        <w:t>条第</w:t>
      </w:r>
      <w:r>
        <w:rPr>
          <w:rFonts w:hint="eastAsia"/>
          <w:strike w:val="0"/>
          <w:dstrike w:val="0"/>
          <w:sz w:val="22"/>
        </w:rPr>
        <w:t>1</w:t>
      </w:r>
      <w:r>
        <w:rPr>
          <w:rFonts w:hint="eastAsia"/>
          <w:strike w:val="0"/>
          <w:dstrike w:val="0"/>
          <w:sz w:val="22"/>
        </w:rPr>
        <w:t>項に規定する茨城県農業経営基盤の強化の促進に関する基本方針及び基盤法第</w:t>
      </w:r>
      <w:r>
        <w:rPr>
          <w:rFonts w:hint="eastAsia"/>
          <w:strike w:val="0"/>
          <w:dstrike w:val="0"/>
          <w:sz w:val="22"/>
        </w:rPr>
        <w:t>6</w:t>
      </w:r>
      <w:r>
        <w:rPr>
          <w:rFonts w:hint="eastAsia"/>
          <w:strike w:val="0"/>
          <w:dstrike w:val="0"/>
          <w:sz w:val="22"/>
        </w:rPr>
        <w:t>条第</w:t>
      </w:r>
      <w:r>
        <w:rPr>
          <w:rFonts w:hint="eastAsia"/>
          <w:strike w:val="0"/>
          <w:dstrike w:val="0"/>
          <w:sz w:val="22"/>
        </w:rPr>
        <w:t>1</w:t>
      </w:r>
      <w:r>
        <w:rPr>
          <w:rFonts w:hint="eastAsia"/>
          <w:strike w:val="0"/>
          <w:dstrike w:val="0"/>
          <w:sz w:val="22"/>
        </w:rPr>
        <w:t>項に規定する下妻市の農業経営基盤の強化の促進に関する基本的な構想を踏まえた農業委員会の長期的な目標として</w:t>
      </w:r>
      <w:r>
        <w:rPr>
          <w:rFonts w:hint="eastAsia"/>
          <w:strike w:val="0"/>
          <w:dstrike w:val="0"/>
          <w:sz w:val="22"/>
        </w:rPr>
        <w:t>10</w:t>
      </w:r>
      <w:r>
        <w:rPr>
          <w:rFonts w:hint="eastAsia"/>
          <w:strike w:val="0"/>
          <w:dstrike w:val="0"/>
          <w:sz w:val="22"/>
        </w:rPr>
        <w:t>年後に示す農地の状況等を示すものであり、農業委員及び推進委員の改選期である</w:t>
      </w:r>
      <w:r>
        <w:rPr>
          <w:rFonts w:hint="eastAsia"/>
          <w:strike w:val="0"/>
          <w:dstrike w:val="0"/>
          <w:sz w:val="22"/>
        </w:rPr>
        <w:t>3</w:t>
      </w:r>
      <w:r>
        <w:rPr>
          <w:rFonts w:hint="eastAsia"/>
          <w:strike w:val="0"/>
          <w:dstrike w:val="0"/>
          <w:sz w:val="22"/>
        </w:rPr>
        <w:t>年ごとに検証・見直しを行う。</w:t>
      </w:r>
    </w:p>
    <w:p>
      <w:pPr>
        <w:pStyle w:val="0"/>
        <w:ind w:firstLine="237" w:firstLineChars="100"/>
        <w:rPr>
          <w:rFonts w:hint="default"/>
          <w:sz w:val="22"/>
        </w:rPr>
      </w:pPr>
      <w:r>
        <w:rPr>
          <w:rFonts w:hint="eastAsia"/>
          <w:sz w:val="22"/>
        </w:rPr>
        <w:t>また、単年度の具体的な活動については、「農業委員会による最適化活動の推進等について」（令和４年２月２日付け３経営第</w:t>
      </w:r>
      <w:r>
        <w:rPr>
          <w:rFonts w:hint="eastAsia"/>
          <w:sz w:val="22"/>
        </w:rPr>
        <w:t>2584</w:t>
      </w:r>
      <w:r>
        <w:rPr>
          <w:rFonts w:hint="eastAsia"/>
          <w:sz w:val="22"/>
        </w:rPr>
        <w:t>号農林水産省経営局長通知、令和４年２月</w:t>
      </w:r>
      <w:r>
        <w:rPr>
          <w:rFonts w:hint="eastAsia"/>
          <w:sz w:val="22"/>
        </w:rPr>
        <w:t>25</w:t>
      </w:r>
      <w:r>
        <w:rPr>
          <w:rFonts w:hint="eastAsia"/>
          <w:sz w:val="22"/>
        </w:rPr>
        <w:t>日付け３経営第</w:t>
      </w:r>
      <w:r>
        <w:rPr>
          <w:rFonts w:hint="eastAsia"/>
          <w:sz w:val="22"/>
        </w:rPr>
        <w:t>2816</w:t>
      </w:r>
      <w:r>
        <w:rPr>
          <w:rFonts w:hint="eastAsia"/>
          <w:sz w:val="22"/>
        </w:rPr>
        <w:t>号農林水産省経営局農地政策課長通知）に基づく「最適化活動の目標の設定等」のとおりとする。</w:t>
      </w:r>
    </w:p>
    <w:p>
      <w:pPr>
        <w:pStyle w:val="0"/>
        <w:ind w:firstLine="237" w:firstLineChars="100"/>
        <w:rPr>
          <w:rFonts w:hint="default"/>
          <w:sz w:val="22"/>
        </w:rPr>
      </w:pPr>
    </w:p>
    <w:p>
      <w:pPr>
        <w:pStyle w:val="0"/>
        <w:ind w:firstLine="237" w:firstLineChars="100"/>
        <w:rPr>
          <w:rFonts w:hint="default"/>
          <w:sz w:val="22"/>
        </w:rPr>
      </w:pPr>
    </w:p>
    <w:p>
      <w:pPr>
        <w:pStyle w:val="0"/>
        <w:ind w:firstLine="237" w:firstLineChars="100"/>
        <w:rPr>
          <w:rFonts w:hint="default"/>
          <w:sz w:val="22"/>
        </w:rPr>
      </w:pPr>
    </w:p>
    <w:p>
      <w:pPr>
        <w:pStyle w:val="0"/>
        <w:rPr>
          <w:rFonts w:hint="default"/>
          <w:sz w:val="22"/>
        </w:rPr>
      </w:pPr>
      <w:r>
        <w:rPr>
          <w:rFonts w:hint="eastAsia"/>
          <w:sz w:val="22"/>
        </w:rPr>
        <w:t>第２　具体的な目標、推進方法及び評価方法</w:t>
      </w:r>
    </w:p>
    <w:p>
      <w:pPr>
        <w:pStyle w:val="0"/>
        <w:rPr>
          <w:rFonts w:hint="eastAsia"/>
          <w:sz w:val="22"/>
        </w:rPr>
      </w:pPr>
    </w:p>
    <w:p>
      <w:pPr>
        <w:pStyle w:val="0"/>
        <w:rPr>
          <w:rFonts w:hint="default"/>
          <w:sz w:val="22"/>
        </w:rPr>
      </w:pPr>
      <w:r>
        <w:rPr>
          <w:rFonts w:hint="eastAsia"/>
          <w:sz w:val="22"/>
        </w:rPr>
        <w:t>１．遊休農地の発生防止・解消について</w:t>
      </w:r>
    </w:p>
    <w:p>
      <w:pPr>
        <w:pStyle w:val="0"/>
        <w:rPr>
          <w:rFonts w:hint="eastAsia"/>
          <w:sz w:val="22"/>
        </w:rPr>
      </w:pPr>
    </w:p>
    <w:p>
      <w:pPr>
        <w:pStyle w:val="0"/>
        <w:rPr>
          <w:rFonts w:hint="default"/>
          <w:sz w:val="22"/>
        </w:rPr>
      </w:pPr>
      <w:r>
        <w:rPr>
          <w:rFonts w:hint="eastAsia"/>
          <w:sz w:val="22"/>
        </w:rPr>
        <w:t>（１）遊休農地の解消目標</w:t>
      </w:r>
    </w:p>
    <w:tbl>
      <w:tblPr>
        <w:tblStyle w:val="24"/>
        <w:tblW w:w="9268" w:type="dxa"/>
        <w:tblInd w:w="0" w:type="dxa"/>
        <w:tblLayout w:type="fixed"/>
        <w:tblLook w:firstRow="1" w:lastRow="0" w:firstColumn="1" w:lastColumn="0" w:noHBand="0" w:noVBand="1" w:val="04A0"/>
      </w:tblPr>
      <w:tblGrid>
        <w:gridCol w:w="2317"/>
        <w:gridCol w:w="2317"/>
        <w:gridCol w:w="2317"/>
        <w:gridCol w:w="2317"/>
      </w:tblGrid>
      <w:tr>
        <w:trPr/>
        <w:tc>
          <w:tcPr>
            <w:tcW w:w="2317" w:type="dxa"/>
            <w:vAlign w:val="top"/>
          </w:tcPr>
          <w:p>
            <w:pPr>
              <w:pStyle w:val="15"/>
              <w:rPr>
                <w:rFonts w:hint="default" w:asciiTheme="minorEastAsia" w:hAnsiTheme="minorEastAsia" w:eastAsiaTheme="minorEastAsia"/>
              </w:rPr>
            </w:pP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管内の農地面積（</w:t>
            </w:r>
            <w:r>
              <w:rPr>
                <w:rFonts w:hint="eastAsia" w:asciiTheme="minorEastAsia" w:hAnsiTheme="minorEastAsia" w:eastAsiaTheme="minorEastAsia"/>
              </w:rPr>
              <w:t>A</w:t>
            </w:r>
            <w:r>
              <w:rPr>
                <w:rFonts w:hint="eastAsia" w:asciiTheme="minorEastAsia" w:hAnsiTheme="minorEastAsia" w:eastAsiaTheme="minorEastAsia"/>
              </w:rPr>
              <w:t>）</w:t>
            </w: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遊休農地面積（</w:t>
            </w:r>
            <w:r>
              <w:rPr>
                <w:rFonts w:hint="eastAsia" w:asciiTheme="minorEastAsia" w:hAnsiTheme="minorEastAsia" w:eastAsiaTheme="minorEastAsia"/>
              </w:rPr>
              <w:t>B</w:t>
            </w:r>
            <w:r>
              <w:rPr>
                <w:rFonts w:hint="eastAsia" w:asciiTheme="minorEastAsia" w:hAnsiTheme="minorEastAsia" w:eastAsiaTheme="minorEastAsia"/>
              </w:rPr>
              <w:t>）</w:t>
            </w: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遊休農地の割合</w:t>
            </w:r>
            <w:r>
              <w:rPr>
                <w:rFonts w:hint="eastAsia" w:asciiTheme="minorEastAsia" w:hAnsiTheme="minorEastAsia" w:eastAsiaTheme="minorEastAsia"/>
              </w:rPr>
              <w:t>(B/A</w:t>
            </w:r>
            <w:r>
              <w:rPr>
                <w:rFonts w:hint="eastAsia" w:asciiTheme="minorEastAsia" w:hAnsiTheme="minorEastAsia" w:eastAsiaTheme="minorEastAsia"/>
              </w:rPr>
              <w:t>）</w:t>
            </w:r>
          </w:p>
        </w:tc>
      </w:tr>
      <w:tr>
        <w:trPr/>
        <w:tc>
          <w:tcPr>
            <w:tcW w:w="2317" w:type="dxa"/>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現　　状</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　５年３月）</w:t>
            </w:r>
          </w:p>
        </w:tc>
        <w:tc>
          <w:tcPr>
            <w:tcW w:w="2317"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color w:val="auto"/>
              </w:rPr>
              <w:t>３，９９０</w:t>
            </w:r>
            <w:r>
              <w:rPr>
                <w:rFonts w:hint="eastAsia" w:asciiTheme="minorEastAsia" w:hAnsiTheme="minorEastAsia" w:eastAsiaTheme="minorEastAsia"/>
                <w:color w:val="auto"/>
              </w:rPr>
              <w:t>ha</w:t>
            </w:r>
          </w:p>
        </w:tc>
        <w:tc>
          <w:tcPr>
            <w:tcW w:w="2317"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３３．６</w:t>
            </w:r>
            <w:r>
              <w:rPr>
                <w:rFonts w:hint="eastAsia" w:asciiTheme="minorEastAsia" w:hAnsiTheme="minorEastAsia" w:eastAsiaTheme="minorEastAsia"/>
              </w:rPr>
              <w:t>ha</w:t>
            </w:r>
          </w:p>
        </w:tc>
        <w:tc>
          <w:tcPr>
            <w:tcW w:w="2317"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０．８４％</w:t>
            </w:r>
          </w:p>
        </w:tc>
      </w:tr>
      <w:tr>
        <w:trPr>
          <w:trHeight w:val="696" w:hRule="atLeast"/>
        </w:trPr>
        <w:tc>
          <w:tcPr>
            <w:tcW w:w="2317" w:type="dxa"/>
            <w:tcBorders>
              <w:top w:val="single" w:color="auto" w:sz="2" w:space="0"/>
              <w:left w:val="single" w:color="auto" w:sz="4" w:space="0"/>
              <w:bottom w:val="single" w:color="auto" w:sz="4"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３年後の目標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　８年３月）</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３，９５４</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２５．２</w:t>
            </w:r>
            <w:r>
              <w:rPr>
                <w:rFonts w:hint="eastAsia" w:asciiTheme="minorEastAsia" w:hAnsiTheme="minorEastAsia" w:eastAsiaTheme="minorEastAsia"/>
              </w:rPr>
              <w:t>ha</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０．６４％</w:t>
            </w:r>
          </w:p>
        </w:tc>
      </w:tr>
      <w:tr>
        <w:trPr/>
        <w:tc>
          <w:tcPr>
            <w:tcW w:w="2317" w:type="dxa"/>
            <w:tcBorders>
              <w:top w:val="single" w:color="auto" w:sz="2" w:space="0"/>
              <w:left w:val="single" w:color="auto" w:sz="4" w:space="0"/>
              <w:bottom w:val="single" w:color="auto" w:sz="2"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目　　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（令和１３年３月）</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３，８９４</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１１．２</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０．２９％</w:t>
            </w:r>
          </w:p>
        </w:tc>
      </w:tr>
    </w:tbl>
    <w:p>
      <w:pPr>
        <w:pStyle w:val="0"/>
        <w:ind w:left="700" w:leftChars="100" w:hanging="473" w:hangingChars="200"/>
        <w:rPr>
          <w:rFonts w:hint="default"/>
          <w:sz w:val="22"/>
        </w:rPr>
      </w:pPr>
    </w:p>
    <w:p>
      <w:pPr>
        <w:pStyle w:val="0"/>
        <w:rPr>
          <w:rFonts w:hint="default"/>
          <w:sz w:val="22"/>
        </w:rPr>
      </w:pPr>
      <w:r>
        <w:rPr>
          <w:rFonts w:hint="eastAsia"/>
          <w:sz w:val="22"/>
        </w:rPr>
        <w:t>（２）遊休農地の発生防止・解消の具体的な推進方法</w:t>
      </w:r>
    </w:p>
    <w:p>
      <w:pPr>
        <w:pStyle w:val="0"/>
        <w:rPr>
          <w:rFonts w:hint="default"/>
          <w:sz w:val="22"/>
        </w:rPr>
      </w:pPr>
      <w:r>
        <w:rPr>
          <w:rFonts w:hint="eastAsia"/>
          <w:sz w:val="22"/>
        </w:rPr>
        <w:t xml:space="preserve">  </w:t>
      </w:r>
      <w:r>
        <w:rPr>
          <w:rFonts w:hint="eastAsia"/>
          <w:sz w:val="22"/>
        </w:rPr>
        <w:t>　①　農地の利用状況調査と利用意向調査の実施について</w:t>
      </w:r>
    </w:p>
    <w:p>
      <w:pPr>
        <w:pStyle w:val="0"/>
        <w:ind w:left="947" w:hanging="947" w:hangingChars="400"/>
        <w:rPr>
          <w:rFonts w:hint="default"/>
          <w:sz w:val="22"/>
        </w:rPr>
      </w:pPr>
      <w:r>
        <w:rPr>
          <w:rFonts w:hint="eastAsia"/>
          <w:sz w:val="22"/>
        </w:rPr>
        <w:t>　　　○　農業委員と推進委員よる農地法（昭和</w:t>
      </w:r>
      <w:r>
        <w:rPr>
          <w:rFonts w:hint="eastAsia"/>
          <w:sz w:val="22"/>
        </w:rPr>
        <w:t>27</w:t>
      </w:r>
      <w:r>
        <w:rPr>
          <w:rFonts w:hint="eastAsia"/>
          <w:sz w:val="22"/>
        </w:rPr>
        <w:t>年法律第</w:t>
      </w:r>
      <w:r>
        <w:rPr>
          <w:rFonts w:hint="eastAsia"/>
          <w:sz w:val="22"/>
        </w:rPr>
        <w:t>229</w:t>
      </w:r>
      <w:r>
        <w:rPr>
          <w:rFonts w:hint="eastAsia"/>
          <w:sz w:val="22"/>
        </w:rPr>
        <w:t>号）第</w:t>
      </w:r>
      <w:r>
        <w:rPr>
          <w:rFonts w:hint="eastAsia"/>
          <w:sz w:val="22"/>
        </w:rPr>
        <w:t>30</w:t>
      </w:r>
      <w:r>
        <w:rPr>
          <w:rFonts w:hint="eastAsia"/>
          <w:sz w:val="22"/>
        </w:rPr>
        <w:t>条第１項の規定による利用状況調査（以下「利用状況調査」という。）と同法第</w:t>
      </w:r>
      <w:r>
        <w:rPr>
          <w:rFonts w:hint="eastAsia"/>
          <w:sz w:val="22"/>
        </w:rPr>
        <w:t>32</w:t>
      </w:r>
      <w:r>
        <w:rPr>
          <w:rFonts w:hint="eastAsia"/>
          <w:sz w:val="22"/>
        </w:rPr>
        <w:t>条第１項の規定による利用意向調査（以下「利用意向調査」という。）の実施について協議・検討し、調査の徹底を図る。それぞれの調査時期については、「農地法の運用について」（平成</w:t>
      </w:r>
      <w:r>
        <w:rPr>
          <w:rFonts w:hint="eastAsia"/>
          <w:sz w:val="22"/>
        </w:rPr>
        <w:t>21</w:t>
      </w:r>
      <w:r>
        <w:rPr>
          <w:rFonts w:hint="eastAsia"/>
          <w:sz w:val="22"/>
        </w:rPr>
        <w:t>年</w:t>
      </w:r>
      <w:r>
        <w:rPr>
          <w:rFonts w:hint="eastAsia"/>
          <w:sz w:val="22"/>
        </w:rPr>
        <w:t>12</w:t>
      </w:r>
      <w:r>
        <w:rPr>
          <w:rFonts w:hint="eastAsia"/>
          <w:sz w:val="22"/>
        </w:rPr>
        <w:t>月</w:t>
      </w:r>
      <w:r>
        <w:rPr>
          <w:rFonts w:hint="eastAsia"/>
          <w:sz w:val="22"/>
        </w:rPr>
        <w:t>11</w:t>
      </w:r>
      <w:r>
        <w:rPr>
          <w:rFonts w:hint="eastAsia"/>
          <w:sz w:val="22"/>
        </w:rPr>
        <w:t>日付け</w:t>
      </w:r>
      <w:r>
        <w:rPr>
          <w:rFonts w:hint="eastAsia"/>
          <w:sz w:val="22"/>
        </w:rPr>
        <w:t>21</w:t>
      </w:r>
      <w:r>
        <w:rPr>
          <w:rFonts w:hint="eastAsia"/>
          <w:sz w:val="22"/>
        </w:rPr>
        <w:t>経営第</w:t>
      </w:r>
      <w:r>
        <w:rPr>
          <w:rFonts w:hint="eastAsia"/>
          <w:sz w:val="22"/>
        </w:rPr>
        <w:t>4530</w:t>
      </w:r>
      <w:r>
        <w:rPr>
          <w:rFonts w:hint="eastAsia"/>
          <w:sz w:val="22"/>
        </w:rPr>
        <w:t>号・</w:t>
      </w:r>
      <w:r>
        <w:rPr>
          <w:rFonts w:hint="eastAsia"/>
          <w:sz w:val="22"/>
        </w:rPr>
        <w:t>21</w:t>
      </w:r>
      <w:r>
        <w:rPr>
          <w:rFonts w:hint="eastAsia"/>
          <w:sz w:val="22"/>
        </w:rPr>
        <w:t>農振第</w:t>
      </w:r>
      <w:r>
        <w:rPr>
          <w:rFonts w:hint="eastAsia"/>
          <w:sz w:val="22"/>
        </w:rPr>
        <w:t>1598</w:t>
      </w:r>
      <w:r>
        <w:rPr>
          <w:rFonts w:hint="eastAsia"/>
          <w:sz w:val="22"/>
        </w:rPr>
        <w:t>号農林水産省経営局長・農村振興局長連名通知）に基づき実施する。</w:t>
      </w:r>
    </w:p>
    <w:p>
      <w:pPr>
        <w:pStyle w:val="0"/>
        <w:ind w:left="947" w:hanging="947" w:hangingChars="400"/>
        <w:rPr>
          <w:rFonts w:hint="eastAsia"/>
          <w:sz w:val="22"/>
        </w:rPr>
      </w:pPr>
      <w:r>
        <w:rPr>
          <w:rFonts w:hint="eastAsia"/>
          <w:sz w:val="22"/>
        </w:rPr>
        <w:t>　　　　　なお、従来から農地パトロールの中で行っていた、違反転用の発生防止・早期発見等、農地の適正な利用の確認に関する現場活動については、利用状況調査の時期にかかわらず日常的に実施する。</w:t>
      </w:r>
    </w:p>
    <w:p>
      <w:pPr>
        <w:pStyle w:val="0"/>
        <w:ind w:left="947" w:hanging="947" w:hangingChars="400"/>
        <w:rPr>
          <w:rFonts w:hint="eastAsia"/>
          <w:sz w:val="22"/>
        </w:rPr>
      </w:pPr>
      <w:r>
        <w:rPr>
          <w:rFonts w:hint="eastAsia"/>
          <w:sz w:val="22"/>
        </w:rPr>
        <w:t>　　　○　利用意向調査の結果を踏まえ、農地法第</w:t>
      </w:r>
      <w:r>
        <w:rPr>
          <w:rFonts w:hint="eastAsia"/>
          <w:sz w:val="22"/>
        </w:rPr>
        <w:t>34</w:t>
      </w:r>
      <w:r>
        <w:rPr>
          <w:rFonts w:hint="eastAsia"/>
          <w:sz w:val="22"/>
        </w:rPr>
        <w:t>条に基づく農地の利用関係の調整を行う。</w:t>
      </w:r>
    </w:p>
    <w:p>
      <w:pPr>
        <w:pStyle w:val="0"/>
        <w:ind w:left="947" w:hanging="947" w:hangingChars="400"/>
        <w:rPr>
          <w:rFonts w:hint="default"/>
          <w:sz w:val="22"/>
        </w:rPr>
      </w:pPr>
      <w:r>
        <w:rPr>
          <w:rFonts w:hint="eastAsia"/>
          <w:sz w:val="22"/>
        </w:rPr>
        <w:t>　　　○　利用状況調査と利用意向調査の結果は、速やかに「農業委員会サポートシステム」に反映し、農地台帳の正確な記録の確保と公表の迅速化を図る。</w:t>
      </w:r>
    </w:p>
    <w:p>
      <w:pPr>
        <w:pStyle w:val="0"/>
        <w:ind w:left="947" w:hanging="947" w:hangingChars="400"/>
        <w:rPr>
          <w:rFonts w:hint="eastAsia"/>
          <w:sz w:val="22"/>
        </w:rPr>
      </w:pPr>
    </w:p>
    <w:p>
      <w:pPr>
        <w:pStyle w:val="0"/>
        <w:ind w:firstLine="473" w:firstLineChars="200"/>
        <w:rPr>
          <w:rFonts w:hint="default"/>
          <w:sz w:val="22"/>
        </w:rPr>
      </w:pPr>
      <w:r>
        <w:rPr>
          <w:rFonts w:hint="eastAsia"/>
          <w:sz w:val="22"/>
        </w:rPr>
        <w:t>②　農地中間管理機構との連携について</w:t>
      </w:r>
    </w:p>
    <w:p>
      <w:pPr>
        <w:pStyle w:val="0"/>
        <w:ind w:left="947" w:hanging="947" w:hangingChars="400"/>
        <w:rPr>
          <w:rFonts w:hint="default"/>
          <w:sz w:val="22"/>
        </w:rPr>
      </w:pPr>
      <w:r>
        <w:rPr>
          <w:rFonts w:hint="eastAsia"/>
          <w:sz w:val="22"/>
        </w:rPr>
        <w:t>　　　○　利用意向調査の結果を受け、農家の意向を踏まえた農地中間管理機構への貸付け手続きを行う。</w:t>
      </w:r>
    </w:p>
    <w:p>
      <w:pPr>
        <w:pStyle w:val="0"/>
        <w:ind w:left="947" w:hanging="947" w:hangingChars="400"/>
        <w:rPr>
          <w:rFonts w:hint="eastAsia"/>
          <w:sz w:val="22"/>
        </w:rPr>
      </w:pPr>
    </w:p>
    <w:p>
      <w:pPr>
        <w:pStyle w:val="0"/>
        <w:ind w:firstLine="237" w:firstLineChars="100"/>
        <w:rPr>
          <w:rFonts w:hint="default"/>
          <w:sz w:val="22"/>
        </w:rPr>
      </w:pPr>
      <w:r>
        <w:rPr>
          <w:rFonts w:hint="eastAsia"/>
          <w:sz w:val="22"/>
        </w:rPr>
        <w:t>　③　非農地判断について</w:t>
      </w:r>
    </w:p>
    <w:p>
      <w:pPr>
        <w:pStyle w:val="0"/>
        <w:ind w:left="926" w:leftChars="200" w:hanging="473" w:hangingChars="200"/>
        <w:rPr>
          <w:rFonts w:hint="default"/>
          <w:sz w:val="22"/>
        </w:rPr>
      </w:pPr>
      <w:r>
        <w:rPr>
          <w:rFonts w:hint="eastAsia"/>
          <w:sz w:val="22"/>
        </w:rPr>
        <w:t>　○　利用状況調査によって、再生利用が困難と区分された農地については、現況に応じて速やかに「非農地判断」を行い、守るべき農地を明確化する。</w:t>
      </w:r>
    </w:p>
    <w:p>
      <w:pPr>
        <w:pStyle w:val="0"/>
        <w:ind w:left="926" w:leftChars="200" w:hanging="473" w:hangingChars="200"/>
        <w:rPr>
          <w:rFonts w:hint="default"/>
          <w:sz w:val="22"/>
        </w:rPr>
      </w:pPr>
    </w:p>
    <w:p>
      <w:pPr>
        <w:pStyle w:val="0"/>
        <w:ind w:left="926" w:leftChars="200" w:hanging="473" w:hangingChars="200"/>
        <w:rPr>
          <w:rFonts w:hint="default"/>
          <w:sz w:val="22"/>
        </w:rPr>
      </w:pPr>
    </w:p>
    <w:p>
      <w:pPr>
        <w:pStyle w:val="0"/>
        <w:rPr>
          <w:rFonts w:hint="default"/>
          <w:sz w:val="22"/>
        </w:rPr>
      </w:pPr>
      <w:r>
        <w:rPr>
          <w:rFonts w:hint="eastAsia"/>
          <w:sz w:val="22"/>
        </w:rPr>
        <w:t>（３）遊休農地の発生防止・解消の評価方法</w:t>
      </w:r>
    </w:p>
    <w:p>
      <w:pPr>
        <w:pStyle w:val="0"/>
        <w:rPr>
          <w:rFonts w:hint="default"/>
          <w:sz w:val="22"/>
        </w:rPr>
      </w:pPr>
      <w:r>
        <w:rPr>
          <w:rFonts w:hint="eastAsia"/>
          <w:sz w:val="22"/>
        </w:rPr>
        <w:t>　　　遊休農地の発生防止・解消の進捗状況は、遊休農地の割合により評価する。</w:t>
      </w:r>
    </w:p>
    <w:p>
      <w:pPr>
        <w:pStyle w:val="0"/>
        <w:ind w:left="473" w:hanging="473" w:hangingChars="200"/>
        <w:rPr>
          <w:rFonts w:hint="default"/>
          <w:sz w:val="22"/>
        </w:rPr>
      </w:pPr>
      <w:r>
        <w:rPr>
          <w:rFonts w:hint="eastAsia"/>
          <w:sz w:val="22"/>
        </w:rPr>
        <w:t>　　　単年度の評価については、「農業委員会による最適化活動の推進等について」に基づく「農業委員会の農地利用の最適化の推進の状況その他事務の実施状況の公表」のとおりとする。</w:t>
      </w:r>
    </w:p>
    <w:p>
      <w:pPr>
        <w:pStyle w:val="0"/>
        <w:rPr>
          <w:rFonts w:hint="eastAsia"/>
          <w:sz w:val="22"/>
        </w:rPr>
      </w:pPr>
    </w:p>
    <w:p>
      <w:pPr>
        <w:pStyle w:val="0"/>
        <w:rPr>
          <w:rFonts w:hint="eastAsia"/>
          <w:sz w:val="22"/>
        </w:rPr>
      </w:pPr>
    </w:p>
    <w:p>
      <w:pPr>
        <w:pStyle w:val="0"/>
        <w:rPr>
          <w:rFonts w:hint="default"/>
          <w:sz w:val="22"/>
        </w:rPr>
      </w:pPr>
      <w:r>
        <w:rPr>
          <w:rFonts w:hint="eastAsia"/>
          <w:sz w:val="22"/>
        </w:rPr>
        <w:t>２．担い手への農地利用の集積・集約化について</w:t>
      </w:r>
    </w:p>
    <w:p>
      <w:pPr>
        <w:pStyle w:val="0"/>
        <w:rPr>
          <w:rFonts w:hint="eastAsia"/>
          <w:sz w:val="22"/>
        </w:rPr>
      </w:pPr>
    </w:p>
    <w:p>
      <w:pPr>
        <w:pStyle w:val="0"/>
        <w:rPr>
          <w:rFonts w:hint="default"/>
          <w:sz w:val="22"/>
        </w:rPr>
      </w:pPr>
      <w:r>
        <w:rPr>
          <w:rFonts w:hint="eastAsia"/>
          <w:sz w:val="22"/>
        </w:rPr>
        <w:t>（１）担い手への農地利用集積目標</w:t>
      </w:r>
    </w:p>
    <w:tbl>
      <w:tblPr>
        <w:tblStyle w:val="24"/>
        <w:tblW w:w="9268" w:type="dxa"/>
        <w:tblInd w:w="0" w:type="dxa"/>
        <w:tblLayout w:type="fixed"/>
        <w:tblLook w:firstRow="1" w:lastRow="0" w:firstColumn="1" w:lastColumn="0" w:noHBand="0" w:noVBand="1" w:val="04A0"/>
      </w:tblPr>
      <w:tblGrid>
        <w:gridCol w:w="2317"/>
        <w:gridCol w:w="2317"/>
        <w:gridCol w:w="2317"/>
        <w:gridCol w:w="2317"/>
      </w:tblGrid>
      <w:tr>
        <w:trPr/>
        <w:tc>
          <w:tcPr>
            <w:tcW w:w="2317" w:type="dxa"/>
            <w:vAlign w:val="top"/>
          </w:tcPr>
          <w:p>
            <w:pPr>
              <w:pStyle w:val="15"/>
              <w:rPr>
                <w:rFonts w:hint="default" w:asciiTheme="minorEastAsia" w:hAnsiTheme="minorEastAsia" w:eastAsiaTheme="minorEastAsia"/>
              </w:rPr>
            </w:pP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管内の農地面積（</w:t>
            </w:r>
            <w:r>
              <w:rPr>
                <w:rFonts w:hint="eastAsia" w:asciiTheme="minorEastAsia" w:hAnsiTheme="minorEastAsia" w:eastAsiaTheme="minorEastAsia"/>
              </w:rPr>
              <w:t>A</w:t>
            </w:r>
            <w:r>
              <w:rPr>
                <w:rFonts w:hint="eastAsia" w:asciiTheme="minorEastAsia" w:hAnsiTheme="minorEastAsia" w:eastAsiaTheme="minorEastAsia"/>
              </w:rPr>
              <w:t>）</w:t>
            </w: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集積面積（</w:t>
            </w:r>
            <w:r>
              <w:rPr>
                <w:rFonts w:hint="eastAsia" w:asciiTheme="minorEastAsia" w:hAnsiTheme="minorEastAsia" w:eastAsiaTheme="minorEastAsia"/>
              </w:rPr>
              <w:t>B</w:t>
            </w:r>
            <w:r>
              <w:rPr>
                <w:rFonts w:hint="eastAsia" w:asciiTheme="minorEastAsia" w:hAnsiTheme="minorEastAsia" w:eastAsiaTheme="minorEastAsia"/>
              </w:rPr>
              <w:t>）</w:t>
            </w:r>
          </w:p>
        </w:tc>
        <w:tc>
          <w:tcPr>
            <w:tcW w:w="2317"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集積率（</w:t>
            </w:r>
            <w:r>
              <w:rPr>
                <w:rFonts w:hint="eastAsia" w:asciiTheme="minorEastAsia" w:hAnsiTheme="minorEastAsia" w:eastAsiaTheme="minorEastAsia"/>
              </w:rPr>
              <w:t>B/A)</w:t>
            </w:r>
          </w:p>
        </w:tc>
      </w:tr>
      <w:tr>
        <w:trPr/>
        <w:tc>
          <w:tcPr>
            <w:tcW w:w="2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現　　状</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　５年３月）</w:t>
            </w:r>
          </w:p>
        </w:tc>
        <w:tc>
          <w:tcPr>
            <w:tcW w:w="23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color w:val="auto"/>
              </w:rPr>
              <w:t>３，９９０</w:t>
            </w:r>
            <w:r>
              <w:rPr>
                <w:rFonts w:hint="eastAsia" w:asciiTheme="minorEastAsia" w:hAnsiTheme="minorEastAsia" w:eastAsiaTheme="minorEastAsia"/>
                <w:color w:val="auto"/>
              </w:rPr>
              <w:t>ha</w:t>
            </w:r>
          </w:p>
        </w:tc>
        <w:tc>
          <w:tcPr>
            <w:tcW w:w="2317"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２，５６８</w:t>
            </w:r>
            <w:r>
              <w:rPr>
                <w:rFonts w:hint="eastAsia" w:asciiTheme="minorEastAsia" w:hAnsiTheme="minorEastAsia" w:eastAsiaTheme="minorEastAsia"/>
              </w:rPr>
              <w:t>ha</w:t>
            </w:r>
          </w:p>
        </w:tc>
        <w:tc>
          <w:tcPr>
            <w:tcW w:w="2317" w:type="dxa"/>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６４．４％</w:t>
            </w:r>
          </w:p>
        </w:tc>
      </w:tr>
      <w:tr>
        <w:trPr>
          <w:trHeight w:val="696" w:hRule="atLeast"/>
        </w:trPr>
        <w:tc>
          <w:tcPr>
            <w:tcW w:w="2317" w:type="dxa"/>
            <w:tcBorders>
              <w:top w:val="single" w:color="auto" w:sz="2" w:space="0"/>
              <w:left w:val="single" w:color="auto" w:sz="4" w:space="0"/>
              <w:bottom w:val="single" w:color="auto" w:sz="4"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３年後の目標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　８年３月）</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３，９５４</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２，５７０</w:t>
            </w:r>
            <w:r>
              <w:rPr>
                <w:rFonts w:hint="eastAsia" w:asciiTheme="minorEastAsia" w:hAnsiTheme="minorEastAsia" w:eastAsiaTheme="minorEastAsia"/>
              </w:rPr>
              <w:t>ha</w:t>
            </w:r>
          </w:p>
        </w:tc>
        <w:tc>
          <w:tcPr>
            <w:tcW w:w="2317" w:type="dxa"/>
            <w:tcBorders>
              <w:top w:val="single" w:color="auto" w:sz="2" w:space="0"/>
              <w:left w:val="single" w:color="auto" w:sz="4" w:space="0"/>
              <w:bottom w:val="single" w:color="auto" w:sz="4" w:space="0"/>
              <w:right w:val="single" w:color="auto" w:sz="4" w:space="0"/>
              <w:tl2br w:val="nil"/>
              <w:tr2bl w:val="nil"/>
            </w:tcBorders>
            <w:vAlign w:val="center"/>
          </w:tcPr>
          <w:p>
            <w:pPr>
              <w:pStyle w:val="15"/>
              <w:jc w:val="right"/>
              <w:rPr>
                <w:rFonts w:hint="default" w:asciiTheme="minorEastAsia" w:hAnsiTheme="minorEastAsia" w:eastAsiaTheme="minorEastAsia"/>
              </w:rPr>
            </w:pPr>
            <w:r>
              <w:rPr>
                <w:rFonts w:hint="eastAsia" w:asciiTheme="minorEastAsia" w:hAnsiTheme="minorEastAsia" w:eastAsiaTheme="minorEastAsia"/>
              </w:rPr>
              <w:t>６５．０％</w:t>
            </w:r>
          </w:p>
        </w:tc>
      </w:tr>
      <w:tr>
        <w:trPr/>
        <w:tc>
          <w:tcPr>
            <w:tcW w:w="2317" w:type="dxa"/>
            <w:tcBorders>
              <w:top w:val="single" w:color="auto" w:sz="2" w:space="0"/>
              <w:left w:val="single" w:color="auto" w:sz="4" w:space="0"/>
              <w:bottom w:val="single" w:color="auto" w:sz="2"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目　　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（令和１３年３月）</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３，８９４</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２，５７０</w:t>
            </w:r>
            <w:r>
              <w:rPr>
                <w:rFonts w:hint="eastAsia" w:asciiTheme="minorEastAsia" w:hAnsiTheme="minorEastAsia" w:eastAsiaTheme="minorEastAsia"/>
                <w:color w:val="auto"/>
              </w:rPr>
              <w:t>ha</w:t>
            </w:r>
          </w:p>
        </w:tc>
        <w:tc>
          <w:tcPr>
            <w:tcW w:w="2317"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right"/>
              <w:rPr>
                <w:rFonts w:hint="default" w:asciiTheme="minorEastAsia" w:hAnsiTheme="minorEastAsia" w:eastAsiaTheme="minorEastAsia"/>
                <w:color w:val="auto"/>
              </w:rPr>
            </w:pPr>
            <w:r>
              <w:rPr>
                <w:rFonts w:hint="eastAsia" w:asciiTheme="minorEastAsia" w:hAnsiTheme="minorEastAsia" w:eastAsiaTheme="minorEastAsia"/>
                <w:color w:val="auto"/>
              </w:rPr>
              <w:t>６６．０％</w:t>
            </w:r>
          </w:p>
        </w:tc>
      </w:tr>
    </w:tbl>
    <w:p>
      <w:pPr>
        <w:pStyle w:val="0"/>
        <w:rPr>
          <w:rFonts w:hint="default"/>
          <w:sz w:val="22"/>
        </w:rPr>
      </w:pPr>
    </w:p>
    <w:p>
      <w:pPr>
        <w:pStyle w:val="0"/>
        <w:rPr>
          <w:rFonts w:hint="default"/>
          <w:sz w:val="22"/>
        </w:rPr>
      </w:pPr>
      <w:r>
        <w:rPr>
          <w:rFonts w:hint="eastAsia"/>
          <w:sz w:val="22"/>
        </w:rPr>
        <w:t>（２）担い手への農地利用の集積・集約化に向けた具体的な推進方法</w:t>
      </w:r>
    </w:p>
    <w:p>
      <w:pPr>
        <w:pStyle w:val="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①　「地域計画」の作成・見直しについて</w:t>
      </w:r>
    </w:p>
    <w:p>
      <w:pPr>
        <w:pStyle w:val="0"/>
        <w:ind w:left="990" w:hanging="990" w:hangingChars="418"/>
        <w:rPr>
          <w:rFonts w:hint="default"/>
          <w:sz w:val="22"/>
        </w:rPr>
      </w:pPr>
      <w:r>
        <w:rPr>
          <w:rFonts w:hint="eastAsia"/>
          <w:sz w:val="22"/>
        </w:rPr>
        <w:t>　　　○　農業委員会として、地域ごとに人と農地の問題を解決するため、</w:t>
      </w:r>
      <w:r>
        <w:rPr>
          <w:rFonts w:hint="eastAsia"/>
          <w:sz w:val="22"/>
        </w:rPr>
        <w:t>10</w:t>
      </w:r>
      <w:r>
        <w:rPr>
          <w:rFonts w:hint="eastAsia"/>
          <w:sz w:val="22"/>
        </w:rPr>
        <w:t>年後の農業の在り方と農地利用の将来像を描く「地域計画」の作成と見直しに主体的に取り組む。</w:t>
      </w:r>
    </w:p>
    <w:p>
      <w:pPr>
        <w:pStyle w:val="0"/>
        <w:ind w:left="990" w:hanging="990" w:hangingChars="418"/>
        <w:rPr>
          <w:rFonts w:hint="eastAsia"/>
          <w:sz w:val="22"/>
        </w:rPr>
      </w:pPr>
    </w:p>
    <w:p>
      <w:pPr>
        <w:pStyle w:val="0"/>
        <w:ind w:firstLine="237" w:firstLineChars="100"/>
        <w:rPr>
          <w:rFonts w:hint="default"/>
          <w:sz w:val="22"/>
        </w:rPr>
      </w:pPr>
      <w:r>
        <w:rPr>
          <w:rFonts w:hint="eastAsia"/>
          <w:sz w:val="22"/>
        </w:rPr>
        <w:t>　②　農地中間管理機構等との連携について</w:t>
      </w:r>
    </w:p>
    <w:p>
      <w:pPr>
        <w:pStyle w:val="0"/>
        <w:ind w:left="947" w:hanging="947" w:hangingChars="400"/>
        <w:rPr>
          <w:rFonts w:hint="default"/>
          <w:sz w:val="22"/>
        </w:rPr>
      </w:pPr>
      <w:r>
        <w:rPr>
          <w:rFonts w:hint="eastAsia"/>
          <w:sz w:val="22"/>
        </w:rPr>
        <w:t>　　　○　農業委員会は、市、農地中間管理機構、農協等と連携し、（ア）農地中間管理機構に貸付け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pPr>
        <w:pStyle w:val="0"/>
        <w:ind w:left="947" w:hanging="947" w:hangingChars="400"/>
        <w:rPr>
          <w:rFonts w:hint="eastAsia"/>
          <w:sz w:val="22"/>
        </w:rPr>
      </w:pPr>
    </w:p>
    <w:p>
      <w:pPr>
        <w:pStyle w:val="0"/>
        <w:ind w:firstLine="237" w:firstLineChars="100"/>
        <w:rPr>
          <w:rFonts w:hint="default"/>
          <w:sz w:val="22"/>
        </w:rPr>
      </w:pPr>
      <w:r>
        <w:rPr>
          <w:rFonts w:hint="eastAsia"/>
          <w:sz w:val="22"/>
        </w:rPr>
        <w:t>　③　農地の利用調整と利用権設定について</w:t>
      </w:r>
    </w:p>
    <w:p>
      <w:pPr>
        <w:pStyle w:val="0"/>
        <w:ind w:left="947" w:hanging="947" w:hangingChars="400"/>
        <w:rPr>
          <w:rFonts w:hint="default"/>
          <w:sz w:val="22"/>
        </w:rPr>
      </w:pPr>
      <w:r>
        <w:rPr>
          <w:rFonts w:hint="eastAsia"/>
          <w:sz w:val="22"/>
        </w:rPr>
        <w:t>　　　○　管内の地域の農地利用の状況を踏まえ、担い手への農地利用の集積が進んでいる地域では、担い手の意向を踏まえた農地の集約化のための利用調整・交換と利用権の再設定を推進する。</w:t>
      </w:r>
    </w:p>
    <w:p>
      <w:pPr>
        <w:pStyle w:val="0"/>
        <w:ind w:left="947" w:hanging="947" w:hangingChars="400"/>
        <w:rPr>
          <w:rFonts w:hint="default"/>
          <w:sz w:val="22"/>
        </w:rPr>
      </w:pPr>
      <w:r>
        <w:rPr>
          <w:rFonts w:hint="eastAsia"/>
          <w:sz w:val="22"/>
        </w:rPr>
        <w:t>　　　　　また、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pPr>
        <w:pStyle w:val="0"/>
        <w:ind w:left="947" w:hanging="947" w:hangingChars="400"/>
        <w:rPr>
          <w:rFonts w:hint="eastAsia"/>
          <w:sz w:val="22"/>
        </w:rPr>
      </w:pPr>
    </w:p>
    <w:p>
      <w:pPr>
        <w:pStyle w:val="0"/>
        <w:ind w:firstLine="237" w:firstLineChars="100"/>
        <w:rPr>
          <w:rFonts w:hint="default"/>
          <w:sz w:val="22"/>
        </w:rPr>
      </w:pPr>
      <w:r>
        <w:rPr>
          <w:rFonts w:hint="eastAsia"/>
          <w:sz w:val="22"/>
        </w:rPr>
        <w:t>　④　農地の所有者等を確知することができない農地の取扱い</w:t>
      </w:r>
    </w:p>
    <w:p>
      <w:pPr>
        <w:pStyle w:val="0"/>
        <w:ind w:left="947" w:hanging="947" w:hangingChars="400"/>
        <w:rPr>
          <w:rFonts w:hint="default"/>
          <w:sz w:val="22"/>
        </w:rPr>
      </w:pPr>
      <w:r>
        <w:rPr>
          <w:rFonts w:hint="eastAsia"/>
          <w:sz w:val="22"/>
        </w:rPr>
        <w:t>　　　○　農地の所有者等を確知することができない農地については、公示手続を経て農地中間管理機構を通じて利用権設定ができる制度を活用し、農地の有効利用に努める。</w:t>
      </w:r>
    </w:p>
    <w:p>
      <w:pPr>
        <w:pStyle w:val="0"/>
        <w:rPr>
          <w:rFonts w:hint="default"/>
          <w:sz w:val="22"/>
        </w:rPr>
      </w:pPr>
    </w:p>
    <w:p>
      <w:pPr>
        <w:pStyle w:val="0"/>
        <w:rPr>
          <w:rFonts w:hint="default"/>
          <w:sz w:val="22"/>
        </w:rPr>
      </w:pPr>
      <w:r>
        <w:rPr>
          <w:rFonts w:hint="eastAsia"/>
          <w:sz w:val="22"/>
        </w:rPr>
        <w:t>（３）担い手への農地利用の集積・集約化の評価方法</w:t>
      </w:r>
    </w:p>
    <w:p>
      <w:pPr>
        <w:pStyle w:val="0"/>
        <w:ind w:left="473" w:hanging="473" w:hangingChars="200"/>
        <w:rPr>
          <w:rFonts w:hint="default"/>
          <w:sz w:val="22"/>
        </w:rPr>
      </w:pPr>
      <w:r>
        <w:rPr>
          <w:rFonts w:hint="eastAsia"/>
          <w:sz w:val="22"/>
        </w:rPr>
        <w:t>　　　担い手への農地利用の集積・集約化の進捗状況は、農地の集積率により評価する。</w:t>
      </w:r>
    </w:p>
    <w:p>
      <w:pPr>
        <w:pStyle w:val="0"/>
        <w:ind w:left="473" w:hanging="473" w:hangingChars="200"/>
        <w:rPr>
          <w:rFonts w:hint="default"/>
          <w:sz w:val="22"/>
        </w:rPr>
      </w:pPr>
      <w:r>
        <w:rPr>
          <w:rFonts w:hint="eastAsia"/>
          <w:sz w:val="22"/>
        </w:rPr>
        <w:t>　　　単年度の評価については、「農業委員会による最適化活動の推進等について」に基づく「農業委員会の農地利用の最適化の推進の状況その他事務の実施状況の公表」のとおりとする。</w:t>
      </w:r>
    </w:p>
    <w:p>
      <w:pPr>
        <w:pStyle w:val="0"/>
        <w:ind w:left="473" w:hanging="473" w:hangingChars="200"/>
        <w:rPr>
          <w:rFonts w:hint="eastAsia"/>
          <w:sz w:val="22"/>
        </w:rPr>
      </w:pPr>
    </w:p>
    <w:p>
      <w:pPr>
        <w:pStyle w:val="0"/>
        <w:rPr>
          <w:rFonts w:hint="default"/>
          <w:sz w:val="22"/>
        </w:rPr>
      </w:pPr>
    </w:p>
    <w:p>
      <w:pPr>
        <w:pStyle w:val="0"/>
        <w:rPr>
          <w:rFonts w:hint="default"/>
          <w:sz w:val="22"/>
        </w:rPr>
      </w:pPr>
      <w:r>
        <w:rPr>
          <w:rFonts w:hint="eastAsia"/>
          <w:sz w:val="22"/>
        </w:rPr>
        <w:t>３．新規参入の促進について</w:t>
      </w:r>
    </w:p>
    <w:p>
      <w:pPr>
        <w:pStyle w:val="0"/>
        <w:rPr>
          <w:rFonts w:hint="eastAsia"/>
          <w:sz w:val="22"/>
        </w:rPr>
      </w:pPr>
    </w:p>
    <w:p>
      <w:pPr>
        <w:pStyle w:val="0"/>
        <w:rPr>
          <w:rFonts w:hint="default"/>
          <w:sz w:val="22"/>
        </w:rPr>
      </w:pPr>
      <w:r>
        <w:rPr>
          <w:rFonts w:hint="eastAsia"/>
          <w:sz w:val="22"/>
        </w:rPr>
        <w:t>（１）新規参入の促進目標</w:t>
      </w:r>
    </w:p>
    <w:tbl>
      <w:tblPr>
        <w:tblStyle w:val="24"/>
        <w:tblW w:w="9268" w:type="dxa"/>
        <w:tblInd w:w="0" w:type="dxa"/>
        <w:tblLayout w:type="fixed"/>
        <w:tblLook w:firstRow="1" w:lastRow="0" w:firstColumn="1" w:lastColumn="0" w:noHBand="0" w:noVBand="1" w:val="04A0"/>
      </w:tblPr>
      <w:tblGrid>
        <w:gridCol w:w="2317"/>
        <w:gridCol w:w="3475"/>
        <w:gridCol w:w="3476"/>
      </w:tblGrid>
      <w:tr>
        <w:trPr/>
        <w:tc>
          <w:tcPr>
            <w:tcW w:w="2317" w:type="dxa"/>
            <w:vAlign w:val="top"/>
          </w:tcPr>
          <w:p>
            <w:pPr>
              <w:pStyle w:val="15"/>
              <w:rPr>
                <w:rFonts w:hint="default" w:asciiTheme="minorEastAsia" w:hAnsiTheme="minorEastAsia" w:eastAsiaTheme="minorEastAsia"/>
              </w:rPr>
            </w:pPr>
          </w:p>
        </w:tc>
        <w:tc>
          <w:tcPr>
            <w:tcW w:w="3475"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新規参入者数（個人）</w:t>
            </w:r>
          </w:p>
          <w:p>
            <w:pPr>
              <w:pStyle w:val="15"/>
              <w:jc w:val="center"/>
              <w:rPr>
                <w:rFonts w:hint="default" w:asciiTheme="minorEastAsia" w:hAnsiTheme="minorEastAsia" w:eastAsiaTheme="minorEastAsia"/>
              </w:rPr>
            </w:pPr>
            <w:r>
              <w:rPr>
                <w:rFonts w:hint="eastAsia" w:asciiTheme="minorEastAsia" w:hAnsiTheme="minorEastAsia" w:eastAsiaTheme="minorEastAsia"/>
              </w:rPr>
              <w:t>（新規参入者取得面積）</w:t>
            </w:r>
          </w:p>
        </w:tc>
        <w:tc>
          <w:tcPr>
            <w:tcW w:w="3476" w:type="dxa"/>
            <w:vAlign w:val="top"/>
          </w:tcPr>
          <w:p>
            <w:pPr>
              <w:pStyle w:val="15"/>
              <w:jc w:val="center"/>
              <w:rPr>
                <w:rFonts w:hint="default" w:asciiTheme="minorEastAsia" w:hAnsiTheme="minorEastAsia" w:eastAsiaTheme="minorEastAsia"/>
              </w:rPr>
            </w:pPr>
            <w:r>
              <w:rPr>
                <w:rFonts w:hint="eastAsia" w:asciiTheme="minorEastAsia" w:hAnsiTheme="minorEastAsia" w:eastAsiaTheme="minorEastAsia"/>
              </w:rPr>
              <w:t>新規参入者数（法人）</w:t>
            </w:r>
          </w:p>
          <w:p>
            <w:pPr>
              <w:pStyle w:val="15"/>
              <w:jc w:val="center"/>
              <w:rPr>
                <w:rFonts w:hint="default" w:asciiTheme="minorEastAsia" w:hAnsiTheme="minorEastAsia" w:eastAsiaTheme="minorEastAsia"/>
              </w:rPr>
            </w:pPr>
            <w:r>
              <w:rPr>
                <w:rFonts w:hint="eastAsia" w:asciiTheme="minorEastAsia" w:hAnsiTheme="minorEastAsia" w:eastAsiaTheme="minorEastAsia"/>
              </w:rPr>
              <w:t>（新規参入者取得面積）</w:t>
            </w:r>
          </w:p>
        </w:tc>
      </w:tr>
      <w:tr>
        <w:trPr/>
        <w:tc>
          <w:tcPr>
            <w:tcW w:w="2317" w:type="dxa"/>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現　　状</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（令和５年３月）</w:t>
            </w:r>
          </w:p>
        </w:tc>
        <w:tc>
          <w:tcPr>
            <w:tcW w:w="3475"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５人</w:t>
            </w:r>
          </w:p>
          <w:p>
            <w:pPr>
              <w:pStyle w:val="15"/>
              <w:jc w:val="center"/>
              <w:rPr>
                <w:rFonts w:hint="default" w:asciiTheme="minorEastAsia" w:hAnsiTheme="minorEastAsia" w:eastAsiaTheme="minorEastAsia"/>
              </w:rPr>
            </w:pPr>
            <w:r>
              <w:rPr>
                <w:rFonts w:hint="eastAsia" w:asciiTheme="minorEastAsia" w:hAnsiTheme="minorEastAsia" w:eastAsiaTheme="minorEastAsia"/>
              </w:rPr>
              <w:t>（４．２</w:t>
            </w:r>
            <w:r>
              <w:rPr>
                <w:rFonts w:hint="eastAsia" w:asciiTheme="minorEastAsia" w:hAnsiTheme="minorEastAsia" w:eastAsiaTheme="minorEastAsia"/>
              </w:rPr>
              <w:t>ha</w:t>
            </w:r>
            <w:r>
              <w:rPr>
                <w:rFonts w:hint="eastAsia" w:asciiTheme="minorEastAsia" w:hAnsiTheme="minorEastAsia" w:eastAsiaTheme="minorEastAsia"/>
              </w:rPr>
              <w:t>）</w:t>
            </w:r>
          </w:p>
        </w:tc>
        <w:tc>
          <w:tcPr>
            <w:tcW w:w="3476" w:type="dxa"/>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３法人</w:t>
            </w:r>
          </w:p>
          <w:p>
            <w:pPr>
              <w:pStyle w:val="15"/>
              <w:jc w:val="center"/>
              <w:rPr>
                <w:rFonts w:hint="default" w:asciiTheme="minorEastAsia" w:hAnsiTheme="minorEastAsia" w:eastAsiaTheme="minorEastAsia"/>
              </w:rPr>
            </w:pPr>
            <w:r>
              <w:rPr>
                <w:rFonts w:hint="eastAsia" w:asciiTheme="minorEastAsia" w:hAnsiTheme="minorEastAsia" w:eastAsiaTheme="minorEastAsia"/>
              </w:rPr>
              <w:t>（２．２</w:t>
            </w:r>
            <w:r>
              <w:rPr>
                <w:rFonts w:hint="eastAsia" w:asciiTheme="minorEastAsia" w:hAnsiTheme="minorEastAsia" w:eastAsiaTheme="minorEastAsia"/>
              </w:rPr>
              <w:t>ha</w:t>
            </w:r>
            <w:r>
              <w:rPr>
                <w:rFonts w:hint="eastAsia" w:asciiTheme="minorEastAsia" w:hAnsiTheme="minorEastAsia" w:eastAsiaTheme="minorEastAsia"/>
              </w:rPr>
              <w:t>）</w:t>
            </w:r>
          </w:p>
        </w:tc>
      </w:tr>
      <w:tr>
        <w:trPr>
          <w:trHeight w:val="695" w:hRule="atLeast"/>
        </w:trPr>
        <w:tc>
          <w:tcPr>
            <w:tcW w:w="2317" w:type="dxa"/>
            <w:tcBorders>
              <w:top w:val="single" w:color="auto" w:sz="2" w:space="0"/>
              <w:left w:val="none" w:color="auto" w:sz="0" w:space="0"/>
              <w:bottom w:val="single" w:color="auto" w:sz="2"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３年後の目標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（令和８年３月）</w:t>
            </w:r>
          </w:p>
        </w:tc>
        <w:tc>
          <w:tcPr>
            <w:tcW w:w="3475" w:type="dxa"/>
            <w:tcBorders>
              <w:top w:val="single" w:color="auto" w:sz="2" w:space="0"/>
              <w:left w:val="single" w:color="auto" w:sz="4" w:space="0"/>
              <w:bottom w:val="single" w:color="auto" w:sz="2" w:space="0"/>
              <w:right w:val="single" w:color="auto" w:sz="4" w:space="0"/>
              <w:tl2br w:val="nil"/>
              <w:tr2bl w:val="nil"/>
            </w:tcBorders>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１０人</w:t>
            </w:r>
          </w:p>
          <w:p>
            <w:pPr>
              <w:pStyle w:val="15"/>
              <w:jc w:val="center"/>
              <w:rPr>
                <w:rFonts w:hint="default" w:asciiTheme="minorEastAsia" w:hAnsiTheme="minorEastAsia" w:eastAsiaTheme="minorEastAsia"/>
              </w:rPr>
            </w:pPr>
            <w:r>
              <w:rPr>
                <w:rFonts w:hint="eastAsia" w:asciiTheme="minorEastAsia" w:hAnsiTheme="minorEastAsia" w:eastAsiaTheme="minorEastAsia"/>
              </w:rPr>
              <w:t>（６．７</w:t>
            </w:r>
            <w:r>
              <w:rPr>
                <w:rFonts w:hint="eastAsia" w:asciiTheme="minorEastAsia" w:hAnsiTheme="minorEastAsia" w:eastAsiaTheme="minorEastAsia"/>
              </w:rPr>
              <w:t>ha</w:t>
            </w:r>
            <w:r>
              <w:rPr>
                <w:rFonts w:hint="eastAsia" w:asciiTheme="minorEastAsia" w:hAnsiTheme="minorEastAsia" w:eastAsiaTheme="minorEastAsia"/>
              </w:rPr>
              <w:t>）</w:t>
            </w:r>
          </w:p>
        </w:tc>
        <w:tc>
          <w:tcPr>
            <w:tcW w:w="3476" w:type="dxa"/>
            <w:tcBorders>
              <w:top w:val="single" w:color="auto" w:sz="2" w:space="0"/>
              <w:left w:val="single" w:color="auto" w:sz="4" w:space="0"/>
              <w:bottom w:val="single" w:color="auto" w:sz="2" w:space="0"/>
              <w:right w:val="none" w:color="auto" w:sz="0" w:space="0"/>
              <w:tl2br w:val="nil"/>
              <w:tr2bl w:val="nil"/>
            </w:tcBorders>
            <w:vAlign w:val="center"/>
          </w:tcPr>
          <w:p>
            <w:pPr>
              <w:pStyle w:val="15"/>
              <w:jc w:val="center"/>
              <w:rPr>
                <w:rFonts w:hint="default" w:asciiTheme="minorEastAsia" w:hAnsiTheme="minorEastAsia" w:eastAsiaTheme="minorEastAsia"/>
              </w:rPr>
            </w:pPr>
            <w:r>
              <w:rPr>
                <w:rFonts w:hint="eastAsia" w:asciiTheme="minorEastAsia" w:hAnsiTheme="minorEastAsia" w:eastAsiaTheme="minorEastAsia"/>
              </w:rPr>
              <w:t>６法人</w:t>
            </w:r>
          </w:p>
          <w:p>
            <w:pPr>
              <w:pStyle w:val="15"/>
              <w:jc w:val="center"/>
              <w:rPr>
                <w:rFonts w:hint="default" w:asciiTheme="minorEastAsia" w:hAnsiTheme="minorEastAsia" w:eastAsiaTheme="minorEastAsia"/>
              </w:rPr>
            </w:pPr>
            <w:r>
              <w:rPr>
                <w:rFonts w:hint="eastAsia" w:asciiTheme="minorEastAsia" w:hAnsiTheme="minorEastAsia" w:eastAsiaTheme="minorEastAsia"/>
              </w:rPr>
              <w:t>（３．７</w:t>
            </w:r>
            <w:r>
              <w:rPr>
                <w:rFonts w:hint="eastAsia" w:asciiTheme="minorEastAsia" w:hAnsiTheme="minorEastAsia" w:eastAsiaTheme="minorEastAsia"/>
              </w:rPr>
              <w:t>ha</w:t>
            </w:r>
            <w:r>
              <w:rPr>
                <w:rFonts w:hint="eastAsia" w:asciiTheme="minorEastAsia" w:hAnsiTheme="minorEastAsia" w:eastAsiaTheme="minorEastAsia"/>
              </w:rPr>
              <w:t>）</w:t>
            </w:r>
          </w:p>
        </w:tc>
      </w:tr>
      <w:tr>
        <w:trPr/>
        <w:tc>
          <w:tcPr>
            <w:tcW w:w="2317" w:type="dxa"/>
            <w:tcBorders>
              <w:top w:val="single" w:color="auto" w:sz="4" w:space="0"/>
              <w:left w:val="single" w:color="auto" w:sz="4" w:space="0"/>
              <w:bottom w:val="single" w:color="auto" w:sz="2" w:space="0"/>
              <w:right w:val="single" w:color="auto" w:sz="4" w:space="0"/>
              <w:tl2br w:val="nil"/>
              <w:tr2bl w:val="nil"/>
            </w:tcBorders>
            <w:vAlign w:val="top"/>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目　　標</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（令和１３年３月）</w:t>
            </w:r>
          </w:p>
        </w:tc>
        <w:tc>
          <w:tcPr>
            <w:tcW w:w="3475" w:type="dxa"/>
            <w:tcBorders>
              <w:top w:val="single" w:color="auto" w:sz="4" w:space="0"/>
              <w:left w:val="single" w:color="auto" w:sz="4" w:space="0"/>
              <w:bottom w:val="single" w:color="auto" w:sz="2" w:space="0"/>
              <w:right w:val="single" w:color="auto" w:sz="4" w:space="0"/>
              <w:tl2br w:val="nil"/>
              <w:tr2bl w:val="nil"/>
            </w:tcBorders>
            <w:vAlign w:val="center"/>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１９人</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（１１．２</w:t>
            </w:r>
            <w:r>
              <w:rPr>
                <w:rFonts w:hint="eastAsia" w:asciiTheme="minorEastAsia" w:hAnsiTheme="minorEastAsia" w:eastAsiaTheme="minorEastAsia"/>
                <w:color w:val="auto"/>
              </w:rPr>
              <w:t>ha</w:t>
            </w:r>
            <w:r>
              <w:rPr>
                <w:rFonts w:hint="eastAsia" w:asciiTheme="minorEastAsia" w:hAnsiTheme="minorEastAsia" w:eastAsiaTheme="minorEastAsia"/>
                <w:color w:val="auto"/>
              </w:rPr>
              <w:t>）</w:t>
            </w:r>
          </w:p>
        </w:tc>
        <w:tc>
          <w:tcPr>
            <w:tcW w:w="3476" w:type="dxa"/>
            <w:tcBorders>
              <w:top w:val="single" w:color="auto" w:sz="4" w:space="0"/>
              <w:left w:val="single" w:color="auto" w:sz="4" w:space="0"/>
              <w:bottom w:val="single" w:color="auto" w:sz="2" w:space="0"/>
              <w:right w:val="single" w:color="auto" w:sz="4" w:space="0"/>
              <w:tl2br w:val="nil"/>
              <w:tr2bl w:val="nil"/>
            </w:tcBorders>
            <w:vAlign w:val="center"/>
          </w:tcPr>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１１法人</w:t>
            </w:r>
          </w:p>
          <w:p>
            <w:pPr>
              <w:pStyle w:val="15"/>
              <w:jc w:val="center"/>
              <w:rPr>
                <w:rFonts w:hint="default" w:asciiTheme="minorEastAsia" w:hAnsiTheme="minorEastAsia" w:eastAsiaTheme="minorEastAsia"/>
                <w:color w:val="auto"/>
              </w:rPr>
            </w:pPr>
            <w:r>
              <w:rPr>
                <w:rFonts w:hint="eastAsia" w:asciiTheme="minorEastAsia" w:hAnsiTheme="minorEastAsia" w:eastAsiaTheme="minorEastAsia"/>
                <w:color w:val="auto"/>
              </w:rPr>
              <w:t>（６．２</w:t>
            </w:r>
            <w:r>
              <w:rPr>
                <w:rFonts w:hint="eastAsia" w:asciiTheme="minorEastAsia" w:hAnsiTheme="minorEastAsia" w:eastAsiaTheme="minorEastAsia"/>
                <w:color w:val="auto"/>
              </w:rPr>
              <w:t>ha</w:t>
            </w:r>
            <w:r>
              <w:rPr>
                <w:rFonts w:hint="eastAsia" w:asciiTheme="minorEastAsia" w:hAnsiTheme="minorEastAsia" w:eastAsiaTheme="minorEastAsia"/>
                <w:color w:val="auto"/>
              </w:rPr>
              <w:t>）</w:t>
            </w:r>
          </w:p>
        </w:tc>
      </w:tr>
    </w:tbl>
    <w:p>
      <w:pPr>
        <w:pStyle w:val="0"/>
        <w:ind w:left="700" w:leftChars="100" w:hanging="473" w:hangingChars="200"/>
        <w:rPr>
          <w:rFonts w:hint="eastAsia"/>
          <w:sz w:val="22"/>
        </w:rPr>
      </w:pPr>
      <w:r>
        <w:rPr>
          <w:rFonts w:hint="eastAsia"/>
          <w:sz w:val="22"/>
        </w:rPr>
        <w:t>注：現状については、令和２年度から令和４年度の実績を集計した。</w:t>
      </w:r>
    </w:p>
    <w:p>
      <w:pPr>
        <w:pStyle w:val="0"/>
        <w:rPr>
          <w:rFonts w:hint="default"/>
          <w:color w:val="0070C0"/>
          <w:sz w:val="22"/>
        </w:rPr>
      </w:pPr>
    </w:p>
    <w:p>
      <w:pPr>
        <w:pStyle w:val="0"/>
        <w:rPr>
          <w:rFonts w:hint="default"/>
          <w:sz w:val="22"/>
        </w:rPr>
      </w:pPr>
      <w:r>
        <w:rPr>
          <w:rFonts w:hint="eastAsia"/>
          <w:sz w:val="22"/>
        </w:rPr>
        <w:t>（２）新規参入の促進に向けた具体的な推進方法</w:t>
      </w:r>
    </w:p>
    <w:p>
      <w:pPr>
        <w:pStyle w:val="0"/>
        <w:ind w:firstLine="237" w:firstLineChars="100"/>
        <w:rPr>
          <w:rFonts w:hint="default"/>
          <w:sz w:val="22"/>
        </w:rPr>
      </w:pPr>
      <w:r>
        <w:rPr>
          <w:rFonts w:hint="eastAsia"/>
          <w:sz w:val="22"/>
        </w:rPr>
        <w:t xml:space="preserve">  </w:t>
      </w:r>
      <w:r>
        <w:rPr>
          <w:rFonts w:hint="eastAsia"/>
          <w:sz w:val="22"/>
        </w:rPr>
        <w:t>①　関係機関との連携について</w:t>
      </w:r>
    </w:p>
    <w:p>
      <w:pPr>
        <w:pStyle w:val="0"/>
        <w:ind w:left="937" w:leftChars="100" w:hanging="710" w:hangingChars="300"/>
        <w:rPr>
          <w:rFonts w:hint="default"/>
          <w:sz w:val="22"/>
        </w:rPr>
      </w:pPr>
      <w:r>
        <w:rPr>
          <w:rFonts w:hint="eastAsia"/>
          <w:sz w:val="22"/>
        </w:rPr>
        <w:t>　　○　都道府県・全国の農業委員会ネットワーク機構、農地中間管理機構等と連携し、管内の農地の借入れ意向のある認定農業者及び参入希望者（個人、法人）を把握し、必要に応じて現地見学や相談会を実施する。</w:t>
      </w:r>
    </w:p>
    <w:p>
      <w:pPr>
        <w:pStyle w:val="0"/>
        <w:ind w:firstLine="237" w:firstLineChars="100"/>
        <w:rPr>
          <w:rFonts w:hint="default"/>
          <w:sz w:val="22"/>
        </w:rPr>
      </w:pPr>
    </w:p>
    <w:p>
      <w:pPr>
        <w:pStyle w:val="0"/>
        <w:ind w:firstLine="237" w:firstLineChars="100"/>
        <w:rPr>
          <w:rFonts w:hint="default"/>
          <w:sz w:val="22"/>
        </w:rPr>
      </w:pPr>
      <w:r>
        <w:rPr>
          <w:rFonts w:hint="eastAsia"/>
          <w:sz w:val="22"/>
        </w:rPr>
        <w:t>　②　新規就農フェア等への参加について</w:t>
      </w:r>
    </w:p>
    <w:p>
      <w:pPr>
        <w:pStyle w:val="0"/>
        <w:ind w:left="937" w:leftChars="100" w:hanging="710" w:hangingChars="300"/>
        <w:rPr>
          <w:rFonts w:hint="default"/>
          <w:sz w:val="22"/>
        </w:rPr>
      </w:pPr>
      <w:r>
        <w:rPr>
          <w:rFonts w:hint="eastAsia"/>
          <w:sz w:val="22"/>
        </w:rPr>
        <w:t>　　○　市、農協等と連携し、農業委員や推進委員が新規就農フェア等に積極的に参加することで新規就農希望者の情報収集に努め、新規就農の受入れとフォローアップ体制を整備する。</w:t>
      </w:r>
    </w:p>
    <w:p>
      <w:pPr>
        <w:pStyle w:val="0"/>
        <w:ind w:firstLine="237" w:firstLineChars="100"/>
        <w:rPr>
          <w:rFonts w:hint="default"/>
          <w:sz w:val="22"/>
        </w:rPr>
      </w:pPr>
    </w:p>
    <w:p>
      <w:pPr>
        <w:pStyle w:val="0"/>
        <w:ind w:firstLine="237" w:firstLineChars="100"/>
        <w:rPr>
          <w:rFonts w:hint="default"/>
          <w:sz w:val="22"/>
        </w:rPr>
      </w:pPr>
      <w:r>
        <w:rPr>
          <w:rFonts w:hint="eastAsia"/>
          <w:sz w:val="22"/>
        </w:rPr>
        <w:t>　③　企業参入の推進について</w:t>
      </w:r>
    </w:p>
    <w:p>
      <w:pPr>
        <w:pStyle w:val="0"/>
        <w:ind w:left="937" w:leftChars="100" w:hanging="710" w:hangingChars="300"/>
        <w:rPr>
          <w:rFonts w:hint="default"/>
          <w:sz w:val="22"/>
        </w:rPr>
      </w:pPr>
      <w:r>
        <w:rPr>
          <w:rFonts w:hint="eastAsia"/>
          <w:sz w:val="22"/>
        </w:rPr>
        <w:t>　　○　担い手が不足している地域では、企業の農業参入も地域の担い手確保の有効な手段であることから、農地中間管理機構も活用して、積極的に企業の参入の推進を図る。</w:t>
      </w:r>
    </w:p>
    <w:p>
      <w:pPr>
        <w:pStyle w:val="0"/>
        <w:ind w:firstLine="237" w:firstLineChars="100"/>
        <w:rPr>
          <w:rFonts w:hint="default"/>
          <w:sz w:val="22"/>
        </w:rPr>
      </w:pPr>
    </w:p>
    <w:p>
      <w:pPr>
        <w:pStyle w:val="0"/>
        <w:ind w:firstLine="237" w:firstLineChars="100"/>
        <w:rPr>
          <w:rFonts w:hint="default"/>
          <w:sz w:val="22"/>
        </w:rPr>
      </w:pPr>
      <w:r>
        <w:rPr>
          <w:rFonts w:hint="eastAsia"/>
          <w:sz w:val="22"/>
        </w:rPr>
        <w:t>　④　農業委員会のフォローアップ活動について</w:t>
      </w:r>
    </w:p>
    <w:p>
      <w:pPr>
        <w:pStyle w:val="0"/>
        <w:ind w:left="937" w:leftChars="100" w:hanging="710" w:hangingChars="300"/>
        <w:rPr>
          <w:rFonts w:hint="default"/>
          <w:sz w:val="22"/>
        </w:rPr>
      </w:pPr>
      <w:r>
        <w:rPr>
          <w:rFonts w:hint="eastAsia"/>
          <w:sz w:val="22"/>
        </w:rPr>
        <w:t>　　○　農業委員及び推進委員は、新規参入者（個人、法人）の地域の受入条件の整備を図るとともに、後見人等の役割を担う。</w:t>
      </w:r>
    </w:p>
    <w:p>
      <w:pPr>
        <w:pStyle w:val="0"/>
        <w:ind w:firstLine="237" w:firstLineChars="100"/>
        <w:rPr>
          <w:rFonts w:hint="default"/>
          <w:sz w:val="22"/>
        </w:rPr>
      </w:pPr>
    </w:p>
    <w:p>
      <w:pPr>
        <w:pStyle w:val="0"/>
        <w:rPr>
          <w:rFonts w:hint="default"/>
          <w:sz w:val="22"/>
        </w:rPr>
      </w:pPr>
      <w:r>
        <w:rPr>
          <w:rFonts w:hint="eastAsia"/>
          <w:sz w:val="22"/>
        </w:rPr>
        <w:t>（３）新規参入の促進の評価方法</w:t>
      </w:r>
    </w:p>
    <w:p>
      <w:pPr>
        <w:pStyle w:val="0"/>
        <w:ind w:firstLine="237" w:firstLineChars="100"/>
        <w:rPr>
          <w:rFonts w:hint="default"/>
          <w:sz w:val="22"/>
        </w:rPr>
      </w:pPr>
      <w:r>
        <w:rPr>
          <w:rFonts w:hint="eastAsia"/>
          <w:sz w:val="22"/>
        </w:rPr>
        <w:t>　　新規参入の促進の進捗状況は、新規参入者（個人、法人）の数により評価する。</w:t>
      </w:r>
    </w:p>
    <w:p>
      <w:pPr>
        <w:pStyle w:val="0"/>
        <w:ind w:left="464" w:leftChars="100" w:hanging="237" w:hangingChars="100"/>
        <w:rPr>
          <w:rFonts w:hint="default"/>
          <w:sz w:val="22"/>
        </w:rPr>
      </w:pPr>
      <w:r>
        <w:rPr>
          <w:rFonts w:hint="eastAsia"/>
          <w:sz w:val="22"/>
        </w:rPr>
        <w:t>　　単年度の評価については、「農業委員会による最適化活動の推進等について」に基づく「農業委員会の農地利用の最適化の推進の状況その他事務の実施状況の公表」のとおりとする。</w:t>
      </w:r>
    </w:p>
    <w:p>
      <w:pPr>
        <w:pStyle w:val="0"/>
        <w:ind w:left="464" w:leftChars="100" w:hanging="237" w:hangingChars="100"/>
        <w:rPr>
          <w:rFonts w:hint="default"/>
          <w:sz w:val="22"/>
        </w:rPr>
      </w:pPr>
    </w:p>
    <w:p>
      <w:pPr>
        <w:pStyle w:val="0"/>
        <w:ind w:firstLine="237" w:firstLineChars="100"/>
        <w:rPr>
          <w:rFonts w:hint="default"/>
          <w:sz w:val="22"/>
        </w:rPr>
      </w:pPr>
    </w:p>
    <w:p>
      <w:pPr>
        <w:pStyle w:val="0"/>
        <w:rPr>
          <w:rFonts w:hint="default"/>
          <w:sz w:val="22"/>
        </w:rPr>
      </w:pPr>
      <w:r>
        <w:rPr>
          <w:rFonts w:hint="eastAsia"/>
          <w:sz w:val="22"/>
        </w:rPr>
        <w:t>第３　「地域計画」の目標を達成するための役割</w:t>
      </w:r>
    </w:p>
    <w:p>
      <w:pPr>
        <w:pStyle w:val="0"/>
        <w:rPr>
          <w:rFonts w:hint="default"/>
          <w:sz w:val="22"/>
        </w:rPr>
      </w:pPr>
    </w:p>
    <w:p>
      <w:pPr>
        <w:pStyle w:val="0"/>
        <w:rPr>
          <w:rFonts w:hint="default"/>
          <w:sz w:val="22"/>
        </w:rPr>
      </w:pPr>
      <w:r>
        <w:rPr>
          <w:rFonts w:hint="eastAsia"/>
          <w:sz w:val="22"/>
        </w:rPr>
        <w:t>　下妻市において作成された「地域計画」に基づき、農地を効率的かつ総合的に利用していくため、下妻市農業委員会は次の役割を担っていく。</w:t>
      </w:r>
    </w:p>
    <w:p>
      <w:pPr>
        <w:pStyle w:val="0"/>
        <w:rPr>
          <w:rFonts w:hint="default"/>
          <w:sz w:val="22"/>
        </w:rPr>
      </w:pPr>
      <w:r>
        <w:rPr>
          <w:rFonts w:hint="eastAsia"/>
          <w:sz w:val="22"/>
        </w:rPr>
        <w:t>　・日常的な農地の見守りによる農地の適正利用の確認</w:t>
      </w:r>
    </w:p>
    <w:p>
      <w:pPr>
        <w:pStyle w:val="0"/>
        <w:rPr>
          <w:rFonts w:hint="default"/>
          <w:sz w:val="22"/>
        </w:rPr>
      </w:pPr>
      <w:r>
        <w:rPr>
          <w:rFonts w:hint="eastAsia"/>
          <w:sz w:val="22"/>
        </w:rPr>
        <w:t>　・農家への声掛け等による意向把握</w:t>
      </w:r>
    </w:p>
    <w:p>
      <w:pPr>
        <w:pStyle w:val="0"/>
        <w:rPr>
          <w:rFonts w:hint="default"/>
          <w:sz w:val="22"/>
        </w:rPr>
      </w:pPr>
      <w:r>
        <w:rPr>
          <w:rFonts w:hint="eastAsia"/>
          <w:sz w:val="22"/>
        </w:rPr>
        <w:t>　・「地域計画」で位置付けられた担い手への農地利用調整やマッチング</w:t>
      </w:r>
    </w:p>
    <w:p>
      <w:pPr>
        <w:pStyle w:val="0"/>
        <w:rPr>
          <w:rFonts w:hint="default"/>
          <w:sz w:val="22"/>
        </w:rPr>
      </w:pPr>
      <w:r>
        <w:rPr>
          <w:rFonts w:hint="eastAsia"/>
          <w:sz w:val="22"/>
        </w:rPr>
        <w:t>　・農地中間管理事業の活用の働きかけ</w:t>
      </w:r>
    </w:p>
    <w:p>
      <w:pPr>
        <w:pStyle w:val="0"/>
        <w:rPr>
          <w:rFonts w:hint="default"/>
          <w:sz w:val="22"/>
        </w:rPr>
      </w:pPr>
      <w:r>
        <w:rPr>
          <w:rFonts w:hint="eastAsia"/>
          <w:sz w:val="22"/>
        </w:rPr>
        <w:t>　・「地域計画」の定期的な見直しへの協力</w:t>
      </w:r>
    </w:p>
    <w:p>
      <w:pPr>
        <w:pStyle w:val="0"/>
        <w:ind w:firstLine="237" w:firstLineChars="100"/>
        <w:rPr>
          <w:rFonts w:hint="default"/>
          <w:sz w:val="22"/>
        </w:rPr>
      </w:pPr>
    </w:p>
    <w:sectPr>
      <w:footerReference r:id="rId5" w:type="default"/>
      <w:pgSz w:w="11906" w:h="16838"/>
      <w:pgMar w:top="1418" w:right="1418" w:bottom="1418" w:left="1418" w:header="851" w:footer="284" w:gutter="0"/>
      <w:pgNumType w:start="1"/>
      <w:cols w:space="720"/>
      <w:textDirection w:val="lrTb"/>
      <w:docGrid w:type="linesAndChars" w:linePitch="350"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0826112"/>
      <w:docPartObj>
        <w:docPartGallery w:val="Page Numbers (Bottom of Page)"/>
        <w:docPartUnique/>
      </w:docPartObj>
    </w:sdtPr>
    <w:sdtEndPr>
      <w:rPr>
        <w:rFonts w:hint="default" w:asciiTheme="majorEastAsia" w:hAnsiTheme="majorEastAsia" w:eastAsiaTheme="majorEastAsia"/>
      </w:rPr>
    </w:sdtEndPr>
    <w:sdtContent>
      <w:p>
        <w:pPr>
          <w:pStyle w:val="20"/>
          <w:jc w:val="center"/>
          <w:rPr>
            <w:rFonts w:hint="default" w:asciiTheme="majorEastAsia" w:hAnsiTheme="majorEastAsia" w:eastAsiaTheme="majorEastAsia"/>
          </w:rPr>
        </w:pPr>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1</w:t>
        </w:r>
        <w:r>
          <w:rPr>
            <w:rFonts w:hint="eastAsia"/>
          </w:rPr>
          <w:fldChar w:fldCharType="end"/>
        </w:r>
      </w:p>
    </w:sdtContent>
  </w:sdt>
  <w:p>
    <w:pPr>
      <w:pStyle w:val="20"/>
      <w:rPr>
        <w:rFonts w:hint="default" w:asciiTheme="majorEastAsia" w:hAnsiTheme="majorEastAsia" w:eastAsiaTheme="major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Ｐ明朝" w:hAnsi="ＭＳ Ｐ明朝" w:eastAsia="ＭＳ Ｐ明朝"/>
      <w:color w:val="000000"/>
      <w:kern w:val="0"/>
      <w:sz w:val="22"/>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2051</TotalTime>
  <Pages>5</Pages>
  <Words>55</Words>
  <Characters>3753</Characters>
  <Application>JUST Note</Application>
  <Lines>220</Lines>
  <Paragraphs>124</Paragraphs>
  <CharactersWithSpaces>3880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ma-kobayahi</dc:creator>
  <cp:lastModifiedBy>Administrator</cp:lastModifiedBy>
  <cp:lastPrinted>2023-12-25T02:40:02Z</cp:lastPrinted>
  <dcterms:created xsi:type="dcterms:W3CDTF">2020-12-28T01:57:00Z</dcterms:created>
  <dcterms:modified xsi:type="dcterms:W3CDTF">2023-12-25T09:05:28Z</dcterms:modified>
  <cp:revision>20</cp:revision>
</cp:coreProperties>
</file>